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AE3152" w:rsidRDefault="00AE3152">
      <w:pPr>
        <w:rPr>
          <w:rFonts w:ascii="Arial" w:eastAsia="Arial" w:hAnsi="Arial" w:cs="Arial"/>
          <w:b/>
          <w:sz w:val="24"/>
          <w:szCs w:val="24"/>
        </w:rPr>
      </w:pPr>
    </w:p>
    <w:p w:rsidR="00AE3152" w:rsidRDefault="00AE3152">
      <w:pPr>
        <w:rPr>
          <w:rFonts w:ascii="Arial" w:eastAsia="Arial" w:hAnsi="Arial" w:cs="Arial"/>
          <w:b/>
          <w:sz w:val="24"/>
          <w:szCs w:val="24"/>
        </w:rPr>
      </w:pPr>
    </w:p>
    <w:p w:rsidR="00AE3152" w:rsidRDefault="00AE3152">
      <w:pPr>
        <w:spacing w:line="276" w:lineRule="auto"/>
        <w:rPr>
          <w:rFonts w:ascii="Arial" w:eastAsia="Arial" w:hAnsi="Arial" w:cs="Arial"/>
          <w:b/>
          <w:sz w:val="24"/>
          <w:szCs w:val="24"/>
        </w:rPr>
      </w:pPr>
    </w:p>
    <w:p w:rsidR="00AE3152" w:rsidRDefault="00F2303C">
      <w:pPr>
        <w:spacing w:line="276" w:lineRule="auto"/>
        <w:rPr>
          <w:rFonts w:ascii="Arial" w:eastAsia="Arial" w:hAnsi="Arial" w:cs="Arial"/>
          <w:b/>
          <w:sz w:val="24"/>
          <w:szCs w:val="24"/>
        </w:rPr>
      </w:pPr>
      <w:bookmarkStart w:id="0" w:name="_gjdgxs" w:colFirst="0" w:colLast="0"/>
      <w:bookmarkEnd w:id="0"/>
      <w:r>
        <w:rPr>
          <w:rFonts w:ascii="Arial" w:eastAsia="Arial" w:hAnsi="Arial" w:cs="Arial"/>
          <w:b/>
          <w:sz w:val="24"/>
          <w:szCs w:val="24"/>
        </w:rPr>
        <w:t>Új traktorflották jöhetnek a piacra állami segítséggel</w:t>
      </w:r>
    </w:p>
    <w:p w:rsidR="00AE3152" w:rsidRDefault="00AE3152">
      <w:pPr>
        <w:spacing w:line="276" w:lineRule="auto"/>
        <w:rPr>
          <w:rFonts w:ascii="Arial" w:eastAsia="Arial" w:hAnsi="Arial" w:cs="Arial"/>
          <w:b/>
          <w:sz w:val="24"/>
          <w:szCs w:val="24"/>
        </w:rPr>
      </w:pPr>
      <w:bookmarkStart w:id="1" w:name="_7zex5kwr2ls" w:colFirst="0" w:colLast="0"/>
      <w:bookmarkEnd w:id="1"/>
    </w:p>
    <w:p w:rsidR="00AE3152" w:rsidRDefault="00F2303C">
      <w:pPr>
        <w:spacing w:line="276" w:lineRule="auto"/>
        <w:rPr>
          <w:rFonts w:ascii="Arial" w:eastAsia="Arial" w:hAnsi="Arial" w:cs="Arial"/>
          <w:b/>
          <w:sz w:val="24"/>
          <w:szCs w:val="24"/>
        </w:rPr>
      </w:pPr>
      <w:bookmarkStart w:id="2" w:name="_ce2wgegg2ezm" w:colFirst="0" w:colLast="0"/>
      <w:bookmarkStart w:id="3" w:name="_GoBack"/>
      <w:bookmarkEnd w:id="2"/>
      <w:r>
        <w:rPr>
          <w:rFonts w:ascii="Arial" w:eastAsia="Arial" w:hAnsi="Arial" w:cs="Arial"/>
          <w:b/>
          <w:sz w:val="24"/>
          <w:szCs w:val="24"/>
        </w:rPr>
        <w:t>Felélénkítheti az agrárgépek piac</w:t>
      </w:r>
      <w:r w:rsidR="00FE77FE">
        <w:rPr>
          <w:rFonts w:ascii="Arial" w:eastAsia="Arial" w:hAnsi="Arial" w:cs="Arial"/>
          <w:b/>
          <w:sz w:val="24"/>
          <w:szCs w:val="24"/>
        </w:rPr>
        <w:t xml:space="preserve">át és a lízingpiacot, valamint </w:t>
      </w:r>
      <w:r>
        <w:rPr>
          <w:rFonts w:ascii="Arial" w:eastAsia="Arial" w:hAnsi="Arial" w:cs="Arial"/>
          <w:b/>
          <w:sz w:val="24"/>
          <w:szCs w:val="24"/>
        </w:rPr>
        <w:t>korszerűbb gépparkot hozhat a piaci szereplőknél egy új állami</w:t>
      </w:r>
      <w:r w:rsidR="00FE77FE">
        <w:rPr>
          <w:rFonts w:ascii="Arial" w:eastAsia="Arial" w:hAnsi="Arial" w:cs="Arial"/>
          <w:b/>
          <w:sz w:val="24"/>
          <w:szCs w:val="24"/>
        </w:rPr>
        <w:t xml:space="preserve"> támogatás - közölte a Magyar Lí</w:t>
      </w:r>
      <w:r>
        <w:rPr>
          <w:rFonts w:ascii="Arial" w:eastAsia="Arial" w:hAnsi="Arial" w:cs="Arial"/>
          <w:b/>
          <w:sz w:val="24"/>
          <w:szCs w:val="24"/>
        </w:rPr>
        <w:t>zingszövetség. Új mezőgazdasági gépek, például traktorok vásárlásához igényelt finanszírozás esetében ugyanis az agr</w:t>
      </w:r>
      <w:r w:rsidR="00FE77FE">
        <w:rPr>
          <w:rFonts w:ascii="Arial" w:eastAsia="Arial" w:hAnsi="Arial" w:cs="Arial"/>
          <w:b/>
          <w:sz w:val="24"/>
          <w:szCs w:val="24"/>
        </w:rPr>
        <w:t>ár</w:t>
      </w:r>
      <w:r>
        <w:rPr>
          <w:rFonts w:ascii="Arial" w:eastAsia="Arial" w:hAnsi="Arial" w:cs="Arial"/>
          <w:b/>
          <w:sz w:val="24"/>
          <w:szCs w:val="24"/>
        </w:rPr>
        <w:t xml:space="preserve">minisztériumi </w:t>
      </w:r>
      <w:r w:rsidR="00FE77FE">
        <w:rPr>
          <w:rFonts w:ascii="Arial" w:eastAsia="Arial" w:hAnsi="Arial" w:cs="Arial"/>
          <w:b/>
          <w:sz w:val="24"/>
          <w:szCs w:val="24"/>
        </w:rPr>
        <w:t xml:space="preserve">friss </w:t>
      </w:r>
      <w:r>
        <w:rPr>
          <w:rFonts w:ascii="Arial" w:eastAsia="Arial" w:hAnsi="Arial" w:cs="Arial"/>
          <w:b/>
          <w:sz w:val="24"/>
          <w:szCs w:val="24"/>
        </w:rPr>
        <w:t>rendelet</w:t>
      </w:r>
      <w:r w:rsidR="00FE77FE">
        <w:rPr>
          <w:rFonts w:ascii="Arial" w:eastAsia="Arial" w:hAnsi="Arial" w:cs="Arial"/>
          <w:b/>
          <w:sz w:val="24"/>
          <w:szCs w:val="24"/>
        </w:rPr>
        <w:t>e</w:t>
      </w:r>
      <w:r w:rsidR="00436C51">
        <w:rPr>
          <w:rFonts w:ascii="Arial" w:eastAsia="Arial" w:hAnsi="Arial" w:cs="Arial"/>
          <w:b/>
          <w:sz w:val="24"/>
          <w:szCs w:val="24"/>
        </w:rPr>
        <w:t xml:space="preserve"> (</w:t>
      </w:r>
      <w:r w:rsidR="00436C51">
        <w:rPr>
          <w:rFonts w:ascii="MyriadPro-Bold" w:hAnsi="MyriadPro-Bold" w:cs="MyriadPro-Bold"/>
          <w:b/>
          <w:bCs/>
          <w:sz w:val="20"/>
          <w:szCs w:val="20"/>
          <w:lang w:eastAsia="en-US"/>
        </w:rPr>
        <w:t>15/2019. (IV. 25.))</w:t>
      </w:r>
      <w:r>
        <w:rPr>
          <w:rFonts w:ascii="Arial" w:eastAsia="Arial" w:hAnsi="Arial" w:cs="Arial"/>
          <w:b/>
          <w:sz w:val="24"/>
          <w:szCs w:val="24"/>
        </w:rPr>
        <w:t xml:space="preserve"> szerint a kamatok 50 százalékára kérhető támogatás. </w:t>
      </w:r>
    </w:p>
    <w:p w:rsidR="00AE3152" w:rsidRDefault="00AE3152">
      <w:pPr>
        <w:spacing w:line="276" w:lineRule="auto"/>
        <w:rPr>
          <w:rFonts w:ascii="Arial" w:eastAsia="Arial" w:hAnsi="Arial" w:cs="Arial"/>
          <w:b/>
          <w:sz w:val="24"/>
          <w:szCs w:val="24"/>
        </w:rPr>
      </w:pPr>
      <w:bookmarkStart w:id="4" w:name="_lofw1cg0jt02" w:colFirst="0" w:colLast="0"/>
      <w:bookmarkEnd w:id="4"/>
      <w:bookmarkEnd w:id="3"/>
    </w:p>
    <w:p w:rsidR="00AE3152" w:rsidRDefault="00F2303C">
      <w:pPr>
        <w:spacing w:line="276" w:lineRule="auto"/>
        <w:rPr>
          <w:rFonts w:ascii="Arial" w:eastAsia="Arial" w:hAnsi="Arial" w:cs="Arial"/>
          <w:sz w:val="24"/>
          <w:szCs w:val="24"/>
        </w:rPr>
      </w:pPr>
      <w:bookmarkStart w:id="5" w:name="_pwk6rxxcixql" w:colFirst="0" w:colLast="0"/>
      <w:bookmarkEnd w:id="5"/>
      <w:r>
        <w:rPr>
          <w:rFonts w:ascii="Arial" w:eastAsia="Arial" w:hAnsi="Arial" w:cs="Arial"/>
          <w:sz w:val="24"/>
          <w:szCs w:val="24"/>
        </w:rPr>
        <w:t xml:space="preserve">Kedvező lehetőséget kapnak az agrárvállalkozások: állami támogatással igénybe vehető lízingfinanszírozással korszerűsíthetik a gépparkjukat egy április végén megjelent agrárminisztériumi rendelet eredményeként. </w:t>
      </w:r>
    </w:p>
    <w:p w:rsidR="00AE3152" w:rsidRDefault="00AE3152">
      <w:pPr>
        <w:spacing w:line="276" w:lineRule="auto"/>
        <w:rPr>
          <w:rFonts w:ascii="Arial" w:eastAsia="Arial" w:hAnsi="Arial" w:cs="Arial"/>
          <w:sz w:val="24"/>
          <w:szCs w:val="24"/>
        </w:rPr>
      </w:pPr>
      <w:bookmarkStart w:id="6" w:name="_ea8dbr5ukdkk" w:colFirst="0" w:colLast="0"/>
      <w:bookmarkEnd w:id="6"/>
    </w:p>
    <w:p w:rsidR="00AE3152" w:rsidRDefault="00F2303C">
      <w:pPr>
        <w:spacing w:line="276" w:lineRule="auto"/>
        <w:rPr>
          <w:rFonts w:ascii="Arial" w:eastAsia="Arial" w:hAnsi="Arial" w:cs="Arial"/>
          <w:b/>
          <w:sz w:val="24"/>
          <w:szCs w:val="24"/>
        </w:rPr>
      </w:pPr>
      <w:bookmarkStart w:id="7" w:name="_w7elxshovzwl" w:colFirst="0" w:colLast="0"/>
      <w:bookmarkEnd w:id="7"/>
      <w:r>
        <w:rPr>
          <w:rFonts w:ascii="Arial" w:eastAsia="Arial" w:hAnsi="Arial" w:cs="Arial"/>
          <w:b/>
          <w:sz w:val="24"/>
          <w:szCs w:val="24"/>
        </w:rPr>
        <w:t>Új gépek, kedvezményes finanszírozással</w:t>
      </w:r>
    </w:p>
    <w:p w:rsidR="00AE3152" w:rsidRDefault="00AE3152">
      <w:pPr>
        <w:spacing w:line="276" w:lineRule="auto"/>
        <w:rPr>
          <w:rFonts w:ascii="Arial" w:eastAsia="Arial" w:hAnsi="Arial" w:cs="Arial"/>
          <w:sz w:val="24"/>
          <w:szCs w:val="24"/>
        </w:rPr>
      </w:pPr>
      <w:bookmarkStart w:id="8" w:name="_cjqlb4pvprf" w:colFirst="0" w:colLast="0"/>
      <w:bookmarkEnd w:id="8"/>
    </w:p>
    <w:p w:rsidR="00AE3152" w:rsidRDefault="00F2303C">
      <w:pPr>
        <w:spacing w:line="276" w:lineRule="auto"/>
        <w:rPr>
          <w:rFonts w:ascii="Arial" w:eastAsia="Arial" w:hAnsi="Arial" w:cs="Arial"/>
          <w:sz w:val="24"/>
          <w:szCs w:val="24"/>
        </w:rPr>
      </w:pPr>
      <w:bookmarkStart w:id="9" w:name="_8ycubvhxqwav" w:colFirst="0" w:colLast="0"/>
      <w:bookmarkEnd w:id="9"/>
      <w:r>
        <w:rPr>
          <w:rFonts w:ascii="Arial" w:eastAsia="Arial" w:hAnsi="Arial" w:cs="Arial"/>
          <w:sz w:val="24"/>
          <w:szCs w:val="24"/>
        </w:rPr>
        <w:t xml:space="preserve">A Magyar Lízingszövetség közleményében kiemeli: a jogszabály a feltételeknek megfelelő agrárvállalkozásoknak új gépek, például új traktorok beszerzésére kötött lízingkonstrukcióhoz kaphatnak lízingdíj-támogatást, amely a kamattartalom 50 százalékáig terjedhet. </w:t>
      </w:r>
      <w:r w:rsidR="00FE77FE">
        <w:rPr>
          <w:rFonts w:ascii="Arial" w:eastAsia="Arial" w:hAnsi="Arial" w:cs="Arial"/>
          <w:sz w:val="24"/>
          <w:szCs w:val="24"/>
        </w:rPr>
        <w:t>„</w:t>
      </w:r>
      <w:r>
        <w:rPr>
          <w:rFonts w:ascii="Arial" w:eastAsia="Arial" w:hAnsi="Arial" w:cs="Arial"/>
          <w:sz w:val="24"/>
          <w:szCs w:val="24"/>
        </w:rPr>
        <w:t>Kedvező, hogy a Magyar Nemzeti Bank NHP Fix programjában elérhető konstrukciókra is vonatkozik a támogatás. Fontos feltéte</w:t>
      </w:r>
      <w:r w:rsidR="00FE77FE">
        <w:rPr>
          <w:rFonts w:ascii="Arial" w:eastAsia="Arial" w:hAnsi="Arial" w:cs="Arial"/>
          <w:sz w:val="24"/>
          <w:szCs w:val="24"/>
        </w:rPr>
        <w:t>l, hogy az év végéig megkötött l</w:t>
      </w:r>
      <w:r>
        <w:rPr>
          <w:rFonts w:ascii="Arial" w:eastAsia="Arial" w:hAnsi="Arial" w:cs="Arial"/>
          <w:sz w:val="24"/>
          <w:szCs w:val="24"/>
        </w:rPr>
        <w:t>ízingszerződésekhez igényelhető a kamattámogatás</w:t>
      </w:r>
      <w:r w:rsidR="00FE77FE"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z w:val="24"/>
          <w:szCs w:val="24"/>
        </w:rPr>
        <w:t xml:space="preserve">” - emelte ki Tóth Zoltán, a Magyar Lízingszövetség főtitkára. </w:t>
      </w:r>
    </w:p>
    <w:p w:rsidR="00AE3152" w:rsidRDefault="00AE3152">
      <w:pPr>
        <w:spacing w:line="276" w:lineRule="auto"/>
        <w:rPr>
          <w:rFonts w:ascii="Arial" w:eastAsia="Arial" w:hAnsi="Arial" w:cs="Arial"/>
          <w:sz w:val="24"/>
          <w:szCs w:val="24"/>
        </w:rPr>
      </w:pPr>
      <w:bookmarkStart w:id="10" w:name="_qr8pqojb6gfg" w:colFirst="0" w:colLast="0"/>
      <w:bookmarkEnd w:id="10"/>
    </w:p>
    <w:p w:rsidR="00AE3152" w:rsidRDefault="00F2303C">
      <w:pPr>
        <w:spacing w:line="276" w:lineRule="auto"/>
        <w:rPr>
          <w:rFonts w:ascii="Arial" w:eastAsia="Arial" w:hAnsi="Arial" w:cs="Arial"/>
          <w:sz w:val="24"/>
          <w:szCs w:val="24"/>
        </w:rPr>
      </w:pPr>
      <w:bookmarkStart w:id="11" w:name="_z69zdph6wvuq" w:colFirst="0" w:colLast="0"/>
      <w:bookmarkEnd w:id="11"/>
      <w:r>
        <w:rPr>
          <w:rFonts w:ascii="Arial" w:eastAsia="Arial" w:hAnsi="Arial" w:cs="Arial"/>
          <w:sz w:val="24"/>
          <w:szCs w:val="24"/>
        </w:rPr>
        <w:t>A Magyar Lízingszövetség szerint a minisztériumi rendelet alapján igényelhető</w:t>
      </w:r>
      <w:r w:rsidR="00FE77FE">
        <w:rPr>
          <w:rFonts w:ascii="Arial" w:eastAsia="Arial" w:hAnsi="Arial" w:cs="Arial"/>
          <w:sz w:val="24"/>
          <w:szCs w:val="24"/>
        </w:rPr>
        <w:t xml:space="preserve"> támogatás nagyobb mozgásteret</w:t>
      </w:r>
      <w:r>
        <w:rPr>
          <w:rFonts w:ascii="Arial" w:eastAsia="Arial" w:hAnsi="Arial" w:cs="Arial"/>
          <w:sz w:val="24"/>
          <w:szCs w:val="24"/>
        </w:rPr>
        <w:t xml:space="preserve"> nyújt a vállalkozásoknak új agrárgépek, például traktorok beszerzéséhez. Tóth Zoltán elmondta</w:t>
      </w:r>
      <w:r w:rsidR="00FE77FE"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z w:val="24"/>
          <w:szCs w:val="24"/>
        </w:rPr>
        <w:t xml:space="preserve"> a lízingcégek arra számítanak, hogy sok agrárvállalkozás éppen az állami támogatás miatt él majd a lízingfinanszírozás lehetőségével és az új gépek segítségével a korábbinál hatékonyabb, versenyképesebb cégekké válhatnak. </w:t>
      </w:r>
    </w:p>
    <w:p w:rsidR="00AE3152" w:rsidRDefault="00AE3152">
      <w:pPr>
        <w:spacing w:line="276" w:lineRule="auto"/>
        <w:rPr>
          <w:rFonts w:ascii="Arial" w:eastAsia="Arial" w:hAnsi="Arial" w:cs="Arial"/>
          <w:sz w:val="24"/>
          <w:szCs w:val="24"/>
        </w:rPr>
      </w:pPr>
      <w:bookmarkStart w:id="12" w:name="_pq4m0yrx2pir" w:colFirst="0" w:colLast="0"/>
      <w:bookmarkEnd w:id="12"/>
    </w:p>
    <w:p w:rsidR="00AE3152" w:rsidRDefault="00F2303C">
      <w:pPr>
        <w:spacing w:line="276" w:lineRule="auto"/>
        <w:rPr>
          <w:rFonts w:ascii="Arial" w:eastAsia="Arial" w:hAnsi="Arial" w:cs="Arial"/>
          <w:b/>
          <w:sz w:val="24"/>
          <w:szCs w:val="24"/>
        </w:rPr>
      </w:pPr>
      <w:bookmarkStart w:id="13" w:name="_t3rm1kiswhsk" w:colFirst="0" w:colLast="0"/>
      <w:bookmarkEnd w:id="13"/>
      <w:r>
        <w:rPr>
          <w:rFonts w:ascii="Arial" w:eastAsia="Arial" w:hAnsi="Arial" w:cs="Arial"/>
          <w:b/>
          <w:sz w:val="24"/>
          <w:szCs w:val="24"/>
        </w:rPr>
        <w:t>Egy eleve stabil részpiacon jöhet élénkülés</w:t>
      </w:r>
    </w:p>
    <w:p w:rsidR="00AE3152" w:rsidRDefault="00AE3152">
      <w:pPr>
        <w:spacing w:line="276" w:lineRule="auto"/>
        <w:rPr>
          <w:rFonts w:ascii="Arial" w:eastAsia="Arial" w:hAnsi="Arial" w:cs="Arial"/>
          <w:sz w:val="24"/>
          <w:szCs w:val="24"/>
        </w:rPr>
      </w:pPr>
      <w:bookmarkStart w:id="14" w:name="_wxr7gu9idxtu" w:colFirst="0" w:colLast="0"/>
      <w:bookmarkEnd w:id="14"/>
    </w:p>
    <w:p w:rsidR="00AE3152" w:rsidRDefault="00F2303C">
      <w:pPr>
        <w:spacing w:line="276" w:lineRule="auto"/>
        <w:rPr>
          <w:rFonts w:ascii="Arial" w:eastAsia="Arial" w:hAnsi="Arial" w:cs="Arial"/>
          <w:sz w:val="24"/>
          <w:szCs w:val="24"/>
        </w:rPr>
      </w:pPr>
      <w:bookmarkStart w:id="15" w:name="_4m1ji18fg8fn" w:colFirst="0" w:colLast="0"/>
      <w:bookmarkEnd w:id="15"/>
      <w:r>
        <w:rPr>
          <w:rFonts w:ascii="Arial" w:eastAsia="Arial" w:hAnsi="Arial" w:cs="Arial"/>
          <w:sz w:val="24"/>
          <w:szCs w:val="24"/>
        </w:rPr>
        <w:t>A támogatás élénkülést hozhat a mezőgazdasági gépek finanszírozásában, amely egyébként a magyar lízingpiacon belül évek óta a</w:t>
      </w:r>
      <w:r w:rsidR="00FE77FE">
        <w:rPr>
          <w:rFonts w:ascii="Arial" w:eastAsia="Arial" w:hAnsi="Arial" w:cs="Arial"/>
          <w:sz w:val="24"/>
          <w:szCs w:val="24"/>
        </w:rPr>
        <w:t xml:space="preserve">z egyik legstabilabb szegmens. </w:t>
      </w:r>
      <w:r>
        <w:rPr>
          <w:rFonts w:ascii="Arial" w:eastAsia="Arial" w:hAnsi="Arial" w:cs="Arial"/>
          <w:sz w:val="24"/>
          <w:szCs w:val="24"/>
        </w:rPr>
        <w:t xml:space="preserve"> 2018-ban az agrá</w:t>
      </w:r>
      <w:r w:rsidR="00FE77FE"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 xml:space="preserve">gépek beszerzésére 82 milliárd forintot helyeztek ki a Magyar Lízingszövetség tagvállalatai, ami éves szinten 14 százalékos emelkedésnek felel meg. </w:t>
      </w:r>
    </w:p>
    <w:p w:rsidR="00AE3152" w:rsidRDefault="00AE3152">
      <w:pPr>
        <w:spacing w:line="276" w:lineRule="auto"/>
        <w:rPr>
          <w:rFonts w:ascii="Arial" w:eastAsia="Arial" w:hAnsi="Arial" w:cs="Arial"/>
          <w:sz w:val="24"/>
          <w:szCs w:val="24"/>
        </w:rPr>
      </w:pPr>
      <w:bookmarkStart w:id="16" w:name="_aw1t0hk6ynzt" w:colFirst="0" w:colLast="0"/>
      <w:bookmarkEnd w:id="16"/>
    </w:p>
    <w:sectPr w:rsidR="00AE3152">
      <w:headerReference w:type="default" r:id="rId6"/>
      <w:footerReference w:type="default" r:id="rId7"/>
      <w:pgSz w:w="11907" w:h="16840"/>
      <w:pgMar w:top="1134" w:right="1134" w:bottom="1134" w:left="1134" w:header="0" w:footer="36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71D5" w:rsidRDefault="004571D5">
      <w:r>
        <w:separator/>
      </w:r>
    </w:p>
  </w:endnote>
  <w:endnote w:type="continuationSeparator" w:id="0">
    <w:p w:rsidR="004571D5" w:rsidRDefault="00457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Pro-Bold">
    <w:altName w:val="Times New Roman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152" w:rsidRDefault="00AE3152">
    <w:pPr>
      <w:tabs>
        <w:tab w:val="center" w:pos="4536"/>
        <w:tab w:val="right" w:pos="9072"/>
      </w:tabs>
      <w:jc w:val="right"/>
    </w:pPr>
  </w:p>
  <w:p w:rsidR="00AE3152" w:rsidRDefault="00AE3152">
    <w:pPr>
      <w:tabs>
        <w:tab w:val="center" w:pos="4536"/>
        <w:tab w:val="right" w:pos="9072"/>
      </w:tabs>
      <w:spacing w:after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71D5" w:rsidRDefault="004571D5">
      <w:r>
        <w:separator/>
      </w:r>
    </w:p>
  </w:footnote>
  <w:footnote w:type="continuationSeparator" w:id="0">
    <w:p w:rsidR="004571D5" w:rsidRDefault="004571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152" w:rsidRDefault="00AE3152">
    <w:pPr>
      <w:tabs>
        <w:tab w:val="left" w:pos="3402"/>
        <w:tab w:val="left" w:pos="7513"/>
      </w:tabs>
      <w:spacing w:before="709"/>
      <w:ind w:right="2126"/>
      <w:rPr>
        <w:rFonts w:ascii="Calibri" w:eastAsia="Calibri" w:hAnsi="Calibri" w:cs="Calibri"/>
        <w:sz w:val="16"/>
        <w:szCs w:val="16"/>
      </w:rPr>
    </w:pPr>
  </w:p>
  <w:p w:rsidR="00AE3152" w:rsidRDefault="00F2303C">
    <w:pPr>
      <w:tabs>
        <w:tab w:val="left" w:pos="3402"/>
        <w:tab w:val="left" w:pos="7513"/>
      </w:tabs>
      <w:ind w:right="2126"/>
      <w:rPr>
        <w:rFonts w:ascii="Calibri" w:eastAsia="Calibri" w:hAnsi="Calibri" w:cs="Calibri"/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 xml:space="preserve">Magyar Lízing- és Finanszírozó Társaságok Szövetsége </w:t>
    </w:r>
  </w:p>
  <w:p w:rsidR="00AE3152" w:rsidRDefault="00F2303C">
    <w:pPr>
      <w:tabs>
        <w:tab w:val="left" w:pos="3402"/>
        <w:tab w:val="left" w:pos="7513"/>
      </w:tabs>
      <w:ind w:right="2126"/>
      <w:rPr>
        <w:rFonts w:ascii="Calibri" w:eastAsia="Calibri" w:hAnsi="Calibri" w:cs="Calibri"/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>1051 Budapest, József nádor tér 5-6.</w:t>
    </w:r>
    <w:r>
      <w:rPr>
        <w:rFonts w:ascii="Calibri" w:eastAsia="Calibri" w:hAnsi="Calibri" w:cs="Calibri"/>
        <w:sz w:val="16"/>
        <w:szCs w:val="16"/>
      </w:rPr>
      <w:tab/>
      <w:t xml:space="preserve"> </w:t>
    </w:r>
  </w:p>
  <w:p w:rsidR="00AE3152" w:rsidRDefault="00F2303C">
    <w:pPr>
      <w:tabs>
        <w:tab w:val="left" w:pos="3402"/>
        <w:tab w:val="left" w:pos="6096"/>
        <w:tab w:val="left" w:pos="7230"/>
      </w:tabs>
      <w:jc w:val="right"/>
      <w:rPr>
        <w:rFonts w:ascii="Calibri" w:eastAsia="Calibri" w:hAnsi="Calibri" w:cs="Calibri"/>
        <w:sz w:val="16"/>
        <w:szCs w:val="16"/>
      </w:rPr>
    </w:pPr>
    <w:r>
      <w:rPr>
        <w:rFonts w:ascii="Calibri" w:eastAsia="Calibri" w:hAnsi="Calibri" w:cs="Calibri"/>
        <w:noProof/>
        <w:sz w:val="16"/>
        <w:szCs w:val="16"/>
      </w:rPr>
      <w:drawing>
        <wp:inline distT="0" distB="0" distL="0" distR="0">
          <wp:extent cx="1637553" cy="572658"/>
          <wp:effectExtent l="0" t="0" r="0" b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37553" cy="57265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152"/>
    <w:rsid w:val="00043356"/>
    <w:rsid w:val="00436C51"/>
    <w:rsid w:val="004571D5"/>
    <w:rsid w:val="00AE3152"/>
    <w:rsid w:val="00F2303C"/>
    <w:rsid w:val="00FE7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F538B26-2947-47B4-8D06-2DD8E195D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="Verdana" w:hAnsi="Verdana" w:cs="Verdana"/>
        <w:sz w:val="22"/>
        <w:szCs w:val="22"/>
        <w:lang w:val="hu-HU" w:eastAsia="hu-HU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</w:style>
  <w:style w:type="paragraph" w:styleId="Cmsor1">
    <w:name w:val="heading 1"/>
    <w:basedOn w:val="Norml"/>
    <w:next w:val="Norml"/>
    <w:pPr>
      <w:keepNext/>
      <w:spacing w:before="120" w:after="120"/>
      <w:outlineLvl w:val="0"/>
    </w:pPr>
    <w:rPr>
      <w:b/>
      <w:smallCaps/>
      <w:sz w:val="24"/>
      <w:szCs w:val="24"/>
    </w:rPr>
  </w:style>
  <w:style w:type="paragraph" w:styleId="Cmsor2">
    <w:name w:val="heading 2"/>
    <w:basedOn w:val="Norml"/>
    <w:next w:val="Norm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Cmsor3">
    <w:name w:val="heading 3"/>
    <w:basedOn w:val="Norml"/>
    <w:next w:val="Norm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Cmsor4">
    <w:name w:val="heading 4"/>
    <w:basedOn w:val="Norml"/>
    <w:next w:val="Norm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Cmsor5">
    <w:name w:val="heading 5"/>
    <w:basedOn w:val="Norml"/>
    <w:next w:val="Norml"/>
    <w:pPr>
      <w:keepNext/>
      <w:keepLines/>
      <w:spacing w:before="220" w:after="40"/>
      <w:outlineLvl w:val="4"/>
    </w:pPr>
    <w:rPr>
      <w:b/>
    </w:rPr>
  </w:style>
  <w:style w:type="paragraph" w:styleId="Cmsor6">
    <w:name w:val="heading 6"/>
    <w:basedOn w:val="Norml"/>
    <w:next w:val="Norm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rPr>
      <w:rFonts w:ascii="Calibri" w:eastAsia="Calibri" w:hAnsi="Calibri" w:cs="Calibri"/>
      <w:sz w:val="56"/>
      <w:szCs w:val="56"/>
    </w:rPr>
  </w:style>
  <w:style w:type="paragraph" w:styleId="Alcm">
    <w:name w:val="Subtitle"/>
    <w:basedOn w:val="Norml"/>
    <w:next w:val="Norm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lajose</dc:creator>
  <cp:lastModifiedBy>Bati, Balazs</cp:lastModifiedBy>
  <cp:revision>2</cp:revision>
  <dcterms:created xsi:type="dcterms:W3CDTF">2019-05-09T14:48:00Z</dcterms:created>
  <dcterms:modified xsi:type="dcterms:W3CDTF">2019-05-09T14:48:00Z</dcterms:modified>
</cp:coreProperties>
</file>